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0" w:rsidRDefault="004264E0">
      <w:pPr>
        <w:rPr>
          <w:lang w:bidi="he-IL"/>
        </w:rPr>
      </w:pPr>
    </w:p>
    <w:p w:rsidR="004264E0" w:rsidRDefault="004264E0">
      <w:pPr>
        <w:rPr>
          <w:lang w:bidi="he-IL"/>
        </w:rPr>
      </w:pPr>
    </w:p>
    <w:p w:rsidR="004264E0" w:rsidRDefault="00A56531">
      <w:pPr>
        <w:bidi/>
        <w:ind w:left="2006" w:firstLine="874"/>
        <w:rPr>
          <w:rFonts w:ascii="Times New Roman" w:eastAsia="Times New Roman" w:hAnsi="Times New Roman" w:cs="David"/>
          <w:b/>
          <w:bCs/>
          <w:sz w:val="40"/>
          <w:szCs w:val="40"/>
          <w:u w:val="single"/>
          <w:lang w:bidi="he-IL"/>
        </w:rPr>
      </w:pPr>
      <w:r>
        <w:rPr>
          <w:rFonts w:ascii="Tahoma" w:eastAsia="Tahoma" w:hAnsi="Tahoma" w:cs="Tahoma"/>
          <w:b/>
          <w:bCs/>
          <w:color w:val="001C54"/>
          <w:sz w:val="32"/>
          <w:szCs w:val="32"/>
          <w:rtl/>
          <w:lang w:bidi="he-IL"/>
        </w:rPr>
        <w:t xml:space="preserve">      </w:t>
      </w:r>
      <w:r>
        <w:rPr>
          <w:rFonts w:ascii="Tahoma" w:eastAsia="Tahoma" w:hAnsi="Tahoma" w:cs="Tahoma"/>
          <w:b/>
          <w:bCs/>
          <w:color w:val="001C54"/>
          <w:sz w:val="32"/>
          <w:szCs w:val="32"/>
          <w:u w:val="single"/>
          <w:rtl/>
          <w:lang w:bidi="he-IL"/>
        </w:rPr>
        <w:t>סמינריון</w:t>
      </w:r>
    </w:p>
    <w:p w:rsidR="004264E0" w:rsidRDefault="004264E0">
      <w:pPr>
        <w:bidi/>
        <w:spacing w:line="360" w:lineRule="auto"/>
        <w:rPr>
          <w:rFonts w:ascii="Times New Roman" w:eastAsia="Times New Roman" w:hAnsi="Times New Roman" w:cs="David"/>
          <w:sz w:val="28"/>
          <w:szCs w:val="28"/>
          <w:lang w:bidi="he-IL"/>
        </w:rPr>
      </w:pPr>
    </w:p>
    <w:p w:rsidR="004264E0" w:rsidRDefault="00A56531">
      <w:pPr>
        <w:bidi/>
        <w:spacing w:line="340" w:lineRule="exact"/>
        <w:ind w:left="-193"/>
        <w:rPr>
          <w:rFonts w:ascii="Times New Roman" w:eastAsia="Times New Roman" w:hAnsi="Times New Roman" w:cs="David"/>
          <w:sz w:val="28"/>
          <w:szCs w:val="28"/>
          <w:lang w:bidi="he-IL"/>
        </w:rPr>
      </w:pP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הנך מוזמן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/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ת להרצאה סמינריונית של הפקולטה להנדסת מכונות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, 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שתתקיים ביום ב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'</w:t>
      </w:r>
    </w:p>
    <w:p w:rsidR="004264E0" w:rsidRDefault="00A56531" w:rsidP="004E7D27">
      <w:pPr>
        <w:bidi/>
        <w:spacing w:line="340" w:lineRule="exact"/>
        <w:ind w:left="-193"/>
        <w:rPr>
          <w:rFonts w:ascii="Times New Roman" w:eastAsia="Times New Roman" w:hAnsi="Times New Roman" w:cs="David"/>
          <w:sz w:val="28"/>
          <w:szCs w:val="28"/>
          <w:lang w:bidi="he-IL"/>
        </w:rPr>
      </w:pPr>
      <w:r>
        <w:rPr>
          <w:rFonts w:ascii="Times New Roman" w:eastAsia="Times New Roman" w:hAnsi="Times New Roman" w:cs="David"/>
          <w:sz w:val="28"/>
          <w:szCs w:val="28"/>
          <w:lang w:bidi="he-IL"/>
        </w:rPr>
        <w:t>9.04.2018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 (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כ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"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ד בניסן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,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תשע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"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ח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),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בניין דן </w:t>
      </w:r>
      <w:proofErr w:type="spellStart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קאהן</w:t>
      </w:r>
      <w:proofErr w:type="spellEnd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,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אודיטוריום </w:t>
      </w:r>
      <w:r>
        <w:rPr>
          <w:rFonts w:ascii="Times New Roman" w:eastAsia="Times New Roman" w:hAnsi="Times New Roman" w:cs="David"/>
          <w:sz w:val="28"/>
          <w:szCs w:val="28"/>
          <w:lang w:bidi="he-IL"/>
        </w:rPr>
        <w:t>1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,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 </w:t>
      </w:r>
      <w:r>
        <w:rPr>
          <w:rFonts w:ascii="Times New Roman" w:eastAsia="Times New Roman" w:hAnsi="Times New Roman" w:cs="David"/>
          <w:sz w:val="28"/>
          <w:szCs w:val="28"/>
          <w:lang w:bidi="he-IL"/>
        </w:rPr>
        <w:t>14:30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.</w:t>
      </w:r>
    </w:p>
    <w:p w:rsidR="004264E0" w:rsidRDefault="004264E0">
      <w:pPr>
        <w:bidi/>
        <w:spacing w:line="240" w:lineRule="exact"/>
        <w:ind w:left="-194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bidi="he-IL"/>
        </w:rPr>
      </w:pPr>
    </w:p>
    <w:p w:rsidR="004264E0" w:rsidRDefault="00A56531">
      <w:pPr>
        <w:bidi/>
        <w:spacing w:line="240" w:lineRule="exact"/>
        <w:ind w:left="-194"/>
        <w:rPr>
          <w:rFonts w:ascii="Times New Roman" w:eastAsia="Times New Roman" w:hAnsi="Times New Roman" w:cs="David"/>
          <w:sz w:val="28"/>
          <w:szCs w:val="28"/>
          <w:lang w:bidi="he-IL"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bidi="he-IL"/>
        </w:rPr>
        <w:t>מרצה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: 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גליה </w:t>
      </w:r>
      <w:proofErr w:type="spellStart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פיינגולד</w:t>
      </w:r>
      <w:proofErr w:type="spellEnd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 </w:t>
      </w:r>
    </w:p>
    <w:p w:rsidR="004264E0" w:rsidRDefault="004264E0">
      <w:pPr>
        <w:bidi/>
        <w:spacing w:line="240" w:lineRule="exact"/>
        <w:ind w:left="-194"/>
        <w:rPr>
          <w:rFonts w:ascii="Times New Roman" w:eastAsia="Times New Roman" w:hAnsi="Times New Roman" w:cs="David"/>
          <w:sz w:val="28"/>
          <w:szCs w:val="28"/>
          <w:lang w:bidi="he-IL"/>
        </w:rPr>
      </w:pPr>
    </w:p>
    <w:p w:rsidR="004264E0" w:rsidRDefault="00A56531">
      <w:pPr>
        <w:bidi/>
        <w:spacing w:line="240" w:lineRule="exact"/>
        <w:ind w:left="-194"/>
        <w:rPr>
          <w:rFonts w:ascii="Times New Roman" w:eastAsia="Times New Roman" w:hAnsi="Times New Roman" w:cs="David"/>
          <w:sz w:val="28"/>
          <w:szCs w:val="28"/>
          <w:lang w:bidi="he-IL"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bidi="he-IL"/>
        </w:rPr>
        <w:t>מנחה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: 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פרופ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'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סטיבן פרנקל</w:t>
      </w:r>
    </w:p>
    <w:p w:rsidR="004264E0" w:rsidRDefault="00A56531">
      <w:pPr>
        <w:bidi/>
        <w:spacing w:line="240" w:lineRule="exact"/>
        <w:ind w:left="-194"/>
        <w:rPr>
          <w:rFonts w:ascii="Times New Roman" w:eastAsia="Times New Roman" w:hAnsi="Times New Roman" w:cs="David"/>
          <w:sz w:val="28"/>
          <w:szCs w:val="28"/>
          <w:lang w:bidi="he-IL"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bidi="he-IL"/>
        </w:rPr>
        <w:t>מנחה שותף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:  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ד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"</w:t>
      </w:r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ר </w:t>
      </w:r>
      <w:proofErr w:type="spellStart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לאוניד</w:t>
      </w:r>
      <w:proofErr w:type="spellEnd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David"/>
          <w:sz w:val="28"/>
          <w:szCs w:val="28"/>
          <w:rtl/>
          <w:lang w:bidi="he-IL"/>
        </w:rPr>
        <w:t>טרטקובסקי</w:t>
      </w:r>
      <w:proofErr w:type="spellEnd"/>
    </w:p>
    <w:p w:rsidR="004264E0" w:rsidRDefault="004264E0">
      <w:pPr>
        <w:bidi/>
        <w:spacing w:line="240" w:lineRule="exact"/>
        <w:ind w:left="-194"/>
        <w:rPr>
          <w:rFonts w:ascii="Times New Roman" w:eastAsia="Times New Roman" w:hAnsi="Times New Roman" w:cs="David"/>
          <w:sz w:val="28"/>
          <w:szCs w:val="28"/>
          <w:lang w:bidi="he-IL"/>
        </w:rPr>
      </w:pPr>
    </w:p>
    <w:p w:rsidR="004264E0" w:rsidRDefault="004264E0">
      <w:pPr>
        <w:bidi/>
        <w:ind w:right="-284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bidi="he-IL"/>
        </w:rPr>
      </w:pPr>
    </w:p>
    <w:p w:rsidR="004264E0" w:rsidRDefault="00A56531">
      <w:pPr>
        <w:bidi/>
        <w:ind w:left="-194" w:right="-284"/>
        <w:rPr>
          <w:rFonts w:ascii="Times New Roman" w:eastAsia="Times New Roman" w:hAnsi="Times New Roman" w:cs="David"/>
          <w:b/>
          <w:bCs/>
          <w:sz w:val="32"/>
          <w:szCs w:val="32"/>
          <w:lang w:bidi="he-IL"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bidi="he-IL"/>
        </w:rPr>
        <w:t>על הנושא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  <w:lang w:bidi="he-IL"/>
        </w:rPr>
        <w:t>:</w:t>
      </w:r>
    </w:p>
    <w:p w:rsidR="004264E0" w:rsidRDefault="00A56531">
      <w:pPr>
        <w:pStyle w:val="af"/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>CFD Modeling of a Direct Injection</w:t>
      </w:r>
    </w:p>
    <w:p w:rsidR="004264E0" w:rsidRDefault="00A56531">
      <w:pPr>
        <w:pStyle w:val="af"/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 xml:space="preserve">Hydrogen/DME Fueled Internal Combustion </w:t>
      </w:r>
      <w:r>
        <w:rPr>
          <w:rFonts w:ascii="David" w:hAnsi="David" w:cs="David"/>
          <w:b/>
          <w:bCs/>
          <w:sz w:val="40"/>
          <w:szCs w:val="40"/>
          <w:lang w:bidi="he-IL"/>
        </w:rPr>
        <w:t>Engine</w:t>
      </w:r>
    </w:p>
    <w:p w:rsidR="004264E0" w:rsidRDefault="00A56531">
      <w:pPr>
        <w:pStyle w:val="af"/>
        <w:bidi/>
        <w:spacing w:line="276" w:lineRule="auto"/>
        <w:jc w:val="center"/>
        <w:rPr>
          <w:rFonts w:asciiTheme="majorBidi" w:hAnsi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/>
          <w:sz w:val="24"/>
          <w:szCs w:val="24"/>
        </w:rPr>
        <w:t>The seminar will be given in Hebrew</w:t>
      </w:r>
    </w:p>
    <w:p w:rsidR="004264E0" w:rsidRDefault="004264E0">
      <w:pPr>
        <w:bidi/>
        <w:spacing w:line="276" w:lineRule="auto"/>
        <w:jc w:val="both"/>
      </w:pPr>
    </w:p>
    <w:p w:rsidR="004264E0" w:rsidRDefault="00A56531">
      <w:pPr>
        <w:bidi/>
        <w:spacing w:line="276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u w:val="single"/>
          <w:lang w:bidi="he-IL"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bidi="he-IL"/>
        </w:rPr>
        <w:t>תקציר ההרצאה</w:t>
      </w: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:</w:t>
      </w:r>
    </w:p>
    <w:p w:rsidR="004264E0" w:rsidRDefault="00A56531">
      <w:pPr>
        <w:spacing w:line="300" w:lineRule="exact"/>
        <w:jc w:val="both"/>
      </w:pPr>
      <w:r>
        <w:rPr>
          <w:rFonts w:ascii="CMR10" w:hAnsi="CMR10" w:cs="CMR10"/>
          <w:lang w:bidi="he-IL"/>
        </w:rPr>
        <w:t xml:space="preserve">Despite media hype, the imminent death of the internal combustion (IC) engine is greatly exaggerated. Research efforts </w:t>
      </w:r>
      <w:r>
        <w:rPr>
          <w:rFonts w:ascii="CMR10" w:hAnsi="CMR10" w:cs="CMR10"/>
          <w:lang w:bidi="he-IL"/>
        </w:rPr>
        <w:t xml:space="preserve">to produce more efficient, </w:t>
      </w:r>
      <w:proofErr w:type="spellStart"/>
      <w:r>
        <w:rPr>
          <w:rFonts w:ascii="CMR10" w:hAnsi="CMR10" w:cs="CMR10"/>
          <w:lang w:bidi="he-IL"/>
        </w:rPr>
        <w:t>cleaner</w:t>
      </w:r>
      <w:proofErr w:type="gramStart"/>
      <w:r>
        <w:rPr>
          <w:rFonts w:ascii="CMR10" w:hAnsi="CMR10" w:cs="CMR10"/>
          <w:lang w:bidi="he-IL"/>
        </w:rPr>
        <w:t>,and</w:t>
      </w:r>
      <w:proofErr w:type="spellEnd"/>
      <w:proofErr w:type="gramEnd"/>
      <w:r>
        <w:rPr>
          <w:rFonts w:ascii="CMR10" w:hAnsi="CMR10" w:cs="CMR10"/>
          <w:lang w:bidi="he-IL"/>
        </w:rPr>
        <w:t xml:space="preserve"> stable IC engines are ongoing. Alternative, low carbon intensity fuels such as biomass or hydrogen, or fuel blends </w:t>
      </w:r>
      <w:proofErr w:type="gramStart"/>
      <w:r>
        <w:rPr>
          <w:rFonts w:ascii="CMR10" w:hAnsi="CMR10" w:cs="CMR10"/>
          <w:lang w:bidi="he-IL"/>
        </w:rPr>
        <w:t>are being considered</w:t>
      </w:r>
      <w:proofErr w:type="gramEnd"/>
      <w:r>
        <w:rPr>
          <w:rFonts w:ascii="CMR10" w:hAnsi="CMR10" w:cs="CMR10"/>
          <w:lang w:bidi="he-IL"/>
        </w:rPr>
        <w:t xml:space="preserve"> for next generation IC engines. Homogeneous charge compression ignition (HCCI) en</w:t>
      </w:r>
      <w:r>
        <w:rPr>
          <w:rFonts w:ascii="CMR10" w:hAnsi="CMR10" w:cs="CMR10"/>
          <w:lang w:bidi="he-IL"/>
        </w:rPr>
        <w:t xml:space="preserve">gines burning hydrogen with dimethyl ether (DME) additives </w:t>
      </w:r>
      <w:proofErr w:type="gramStart"/>
      <w:r>
        <w:rPr>
          <w:rFonts w:ascii="CMR10" w:hAnsi="CMR10" w:cs="CMR10"/>
          <w:lang w:bidi="he-IL"/>
        </w:rPr>
        <w:t>are being studied</w:t>
      </w:r>
      <w:proofErr w:type="gramEnd"/>
      <w:r>
        <w:rPr>
          <w:rFonts w:ascii="CMR10" w:hAnsi="CMR10" w:cs="CMR10"/>
          <w:lang w:bidi="he-IL"/>
        </w:rPr>
        <w:t xml:space="preserve"> at the </w:t>
      </w:r>
      <w:proofErr w:type="spellStart"/>
      <w:r>
        <w:rPr>
          <w:rFonts w:ascii="CMR10" w:hAnsi="CMR10" w:cs="CMR10"/>
          <w:lang w:bidi="he-IL"/>
        </w:rPr>
        <w:t>Technion</w:t>
      </w:r>
      <w:proofErr w:type="spellEnd"/>
      <w:r>
        <w:rPr>
          <w:rFonts w:ascii="CMR10" w:hAnsi="CMR10" w:cs="CMR10"/>
          <w:lang w:bidi="he-IL"/>
        </w:rPr>
        <w:t xml:space="preserve">. Issues related to direct injection and mixing of such fuel blends </w:t>
      </w:r>
      <w:proofErr w:type="gramStart"/>
      <w:r>
        <w:rPr>
          <w:rFonts w:ascii="CMR10" w:hAnsi="CMR10" w:cs="CMR10"/>
          <w:lang w:bidi="he-IL"/>
        </w:rPr>
        <w:t>must be properly studied</w:t>
      </w:r>
      <w:proofErr w:type="gramEnd"/>
      <w:r>
        <w:rPr>
          <w:rFonts w:ascii="CMR10" w:hAnsi="CMR10" w:cs="CMR10"/>
          <w:lang w:bidi="he-IL"/>
        </w:rPr>
        <w:t xml:space="preserve"> under motored conditions prior to engine combustion studies. Recently d</w:t>
      </w:r>
      <w:r>
        <w:rPr>
          <w:rFonts w:ascii="CMR10" w:hAnsi="CMR10" w:cs="CMR10"/>
          <w:lang w:bidi="he-IL"/>
        </w:rPr>
        <w:t>iscovered novel turbulent-chemistry interactions associated with turbulent jet flames burning DME offer considerable modeling challenges for both RANS and LES.</w:t>
      </w:r>
    </w:p>
    <w:p w:rsidR="004264E0" w:rsidRDefault="00A56531">
      <w:pPr>
        <w:spacing w:line="300" w:lineRule="exact"/>
        <w:jc w:val="both"/>
      </w:pPr>
      <w:r>
        <w:rPr>
          <w:rFonts w:ascii="CMR10" w:hAnsi="CMR10" w:cs="CMR10"/>
          <w:lang w:bidi="he-IL"/>
        </w:rPr>
        <w:t>In this study, we consider three simulation objects using the commercial CFD code called Converg</w:t>
      </w:r>
      <w:r>
        <w:rPr>
          <w:rFonts w:ascii="CMR10" w:hAnsi="CMR10" w:cs="CMR10"/>
          <w:lang w:bidi="he-IL"/>
        </w:rPr>
        <w:t>e. The first is a variation of the now classic non-premixed piloted Sandia Flame D burning DME for which experimental data and previous predictions are available. This will serve to validate the turbulent combustion model and chemical kinetics for DME comb</w:t>
      </w:r>
      <w:r>
        <w:rPr>
          <w:rFonts w:ascii="CMR10" w:hAnsi="CMR10" w:cs="CMR10"/>
          <w:lang w:bidi="he-IL"/>
        </w:rPr>
        <w:t xml:space="preserve">ustion. Detailed chemistry via the SAGE solver and a reaction mechanism consisting of 82 species and 351 reactions </w:t>
      </w:r>
      <w:proofErr w:type="gramStart"/>
      <w:r>
        <w:rPr>
          <w:rFonts w:ascii="CMR10" w:hAnsi="CMR10" w:cs="CMR10"/>
          <w:lang w:bidi="he-IL"/>
        </w:rPr>
        <w:t>is compared</w:t>
      </w:r>
      <w:proofErr w:type="gramEnd"/>
      <w:r>
        <w:rPr>
          <w:rFonts w:ascii="CMR10" w:hAnsi="CMR10" w:cs="CMR10"/>
          <w:lang w:bidi="he-IL"/>
        </w:rPr>
        <w:t xml:space="preserve"> to a </w:t>
      </w:r>
      <w:proofErr w:type="spellStart"/>
      <w:r>
        <w:rPr>
          <w:rFonts w:ascii="CMR10" w:hAnsi="CMR10" w:cs="CMR10"/>
          <w:lang w:bidi="he-IL"/>
        </w:rPr>
        <w:t>flamelet</w:t>
      </w:r>
      <w:proofErr w:type="spellEnd"/>
      <w:r>
        <w:rPr>
          <w:rFonts w:ascii="CMR10" w:hAnsi="CMR10" w:cs="CMR10"/>
          <w:lang w:bidi="he-IL"/>
        </w:rPr>
        <w:t xml:space="preserve"> model using the same mechanism.</w:t>
      </w:r>
    </w:p>
    <w:p w:rsidR="004264E0" w:rsidRDefault="00A56531">
      <w:pPr>
        <w:spacing w:line="300" w:lineRule="exact"/>
        <w:jc w:val="both"/>
      </w:pPr>
      <w:r>
        <w:rPr>
          <w:rFonts w:ascii="CMR10" w:hAnsi="CMR10" w:cs="CMR10"/>
          <w:lang w:bidi="he-IL"/>
        </w:rPr>
        <w:t>The second is a new data set that contains PIV and PLIF data for velocity and scala</w:t>
      </w:r>
      <w:r>
        <w:rPr>
          <w:rFonts w:ascii="CMR10" w:hAnsi="CMR10" w:cs="CMR10"/>
          <w:lang w:bidi="he-IL"/>
        </w:rPr>
        <w:t xml:space="preserve">r (hydrogen) flow fields in a direct injection engine under motored conditions [4]. Recently published RANS predictions using Converge show good agreement with velocity data but mixing </w:t>
      </w:r>
      <w:proofErr w:type="gramStart"/>
      <w:r>
        <w:rPr>
          <w:rFonts w:ascii="CMR10" w:hAnsi="CMR10" w:cs="CMR10"/>
          <w:lang w:bidi="he-IL"/>
        </w:rPr>
        <w:t>is poorly predicted</w:t>
      </w:r>
      <w:proofErr w:type="gramEnd"/>
      <w:r>
        <w:rPr>
          <w:rFonts w:ascii="CMR10" w:hAnsi="CMR10" w:cs="CMR10"/>
          <w:lang w:bidi="he-IL"/>
        </w:rPr>
        <w:t>, especially at later stages near TDC, suggesting LE</w:t>
      </w:r>
      <w:r>
        <w:rPr>
          <w:rFonts w:ascii="CMR10" w:hAnsi="CMR10" w:cs="CMR10"/>
          <w:lang w:bidi="he-IL"/>
        </w:rPr>
        <w:t>S might perform better, validating the solvers' capability to predictively simulate a high-pressure gaseous injection and the consequent mixture propagation in a cylinder.</w:t>
      </w:r>
    </w:p>
    <w:p w:rsidR="004264E0" w:rsidRDefault="00A56531">
      <w:pPr>
        <w:spacing w:line="300" w:lineRule="exact"/>
        <w:jc w:val="both"/>
      </w:pPr>
      <w:r>
        <w:rPr>
          <w:rFonts w:ascii="CMR10" w:hAnsi="CMR10" w:cs="CMR10"/>
          <w:lang w:bidi="he-IL"/>
        </w:rPr>
        <w:t xml:space="preserve">Finally, the validated numerical setups </w:t>
      </w:r>
      <w:proofErr w:type="gramStart"/>
      <w:r>
        <w:rPr>
          <w:rFonts w:ascii="CMR10" w:hAnsi="CMR10" w:cs="CMR10"/>
          <w:lang w:bidi="he-IL"/>
        </w:rPr>
        <w:t>will be applied</w:t>
      </w:r>
      <w:proofErr w:type="gramEnd"/>
      <w:r>
        <w:rPr>
          <w:rFonts w:ascii="CMR10" w:hAnsi="CMR10" w:cs="CMR10"/>
          <w:lang w:bidi="he-IL"/>
        </w:rPr>
        <w:t xml:space="preserve"> to a direct-injection, dual </w:t>
      </w:r>
      <w:r>
        <w:rPr>
          <w:rFonts w:ascii="CMR10" w:hAnsi="CMR10" w:cs="CMR10"/>
          <w:lang w:bidi="he-IL"/>
        </w:rPr>
        <w:t>fuel HCCI engine to demonstrate the effects of stratified and variable reactivity on engine performance.</w:t>
      </w:r>
    </w:p>
    <w:p w:rsidR="004264E0" w:rsidRPr="00011EF2" w:rsidRDefault="00D44298" w:rsidP="00D44298">
      <w:pPr>
        <w:spacing w:line="300" w:lineRule="exact"/>
        <w:jc w:val="both"/>
        <w:rPr>
          <w:rFonts w:ascii="CMR10" w:hAnsi="CMR10" w:cs="CMR10"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54A2A475">
                <wp:simplePos x="0" y="0"/>
                <wp:positionH relativeFrom="margin">
                  <wp:posOffset>-821690</wp:posOffset>
                </wp:positionH>
                <wp:positionV relativeFrom="paragraph">
                  <wp:posOffset>464820</wp:posOffset>
                </wp:positionV>
                <wp:extent cx="2315845" cy="887730"/>
                <wp:effectExtent l="0" t="0" r="8255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584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64E0" w:rsidRDefault="00A56531">
                            <w:pPr>
                              <w:pStyle w:val="FrameContents"/>
                              <w:spacing w:line="276" w:lineRule="auto"/>
                              <w:ind w:left="808" w:right="90"/>
                              <w:jc w:val="right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בברכה</w:t>
                            </w:r>
                            <w:r>
                              <w:rPr>
                                <w:rFonts w:cs="David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264E0" w:rsidRDefault="004264E0">
                            <w:pPr>
                              <w:pStyle w:val="FrameContents"/>
                              <w:spacing w:line="240" w:lineRule="exact"/>
                            </w:pPr>
                          </w:p>
                          <w:p w:rsidR="004264E0" w:rsidRDefault="00A56531">
                            <w:pPr>
                              <w:pStyle w:val="FrameContents"/>
                              <w:spacing w:line="276" w:lineRule="auto"/>
                              <w:ind w:left="90" w:right="75"/>
                              <w:jc w:val="right"/>
                              <w:rPr>
                                <w:rFonts w:cs="Guttman Yad-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Guttman Yad-Light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  <w:t>פרופ</w:t>
                            </w:r>
                            <w:proofErr w:type="spellEnd"/>
                            <w:r>
                              <w:rPr>
                                <w:rFonts w:cs="Guttman Yad-Ligh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Guttman Yad-Light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  <w:t xml:space="preserve">מ מתי </w:t>
                            </w:r>
                            <w:proofErr w:type="spellStart"/>
                            <w:r>
                              <w:rPr>
                                <w:rFonts w:cs="Guttman Yad-Light"/>
                                <w:b/>
                                <w:bCs/>
                                <w:sz w:val="22"/>
                                <w:szCs w:val="22"/>
                                <w:rtl/>
                                <w:lang w:bidi="he-IL"/>
                              </w:rPr>
                              <w:t>סאס</w:t>
                            </w:r>
                            <w:proofErr w:type="spellEnd"/>
                          </w:p>
                          <w:p w:rsidR="004264E0" w:rsidRDefault="00A56531">
                            <w:pPr>
                              <w:pStyle w:val="FrameContents"/>
                              <w:spacing w:line="276" w:lineRule="auto"/>
                              <w:ind w:left="808" w:right="90"/>
                              <w:jc w:val="right"/>
                            </w:pPr>
                            <w:r>
                              <w:rPr>
                                <w:rFonts w:cs="David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מרכז הסמינרים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4A2A475" id="תיבת טקסט 1" o:spid="_x0000_s1026" style="position:absolute;left:0;text-align:left;margin-left:-64.7pt;margin-top:36.6pt;width:182.35pt;height:69.9pt;flip:x;z-index:2;visibility:visible;mso-wrap-style:square;mso-height-percent:200;mso-wrap-distance-left:9pt;mso-wrap-distance-top:0;mso-wrap-distance-right:8.9pt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Is9gEAACgEAAAOAAAAZHJzL2Uyb0RvYy54bWysU81u1DAQviPxDpbvbHa3lK6izVaIauGA&#10;oKLwAF7H3ljyn2x3k30MbuXICakvlNdhPMmmLZyKyMGyPfN94++byfqyM5ocRIjK2YouZnNKhOWu&#10;VnZf0W9ft69WlMTEbM20s6KiRxHp5ebli3XrS7F0jdO1CARIbCxbX9EmJV8WReSNMCzOnBcWgtIF&#10;wxIcw76oA2uB3ehiOZ+/KVoXah8cFzHC7dUQpBvkl1Lw9FnKKBLRFYW3JVwDrru8Fps1K/eB+Ubx&#10;8RnsH15hmLJQdKK6YomR26D+ojKKBxedTDPuTOGkVFygBlCzmP+h5qZhXqAWMCf6yab4/2j5p8N1&#10;IKqG3lFimYEW9ff9j/57f0/6u/5X/7O/I4tsU+tjCdk3/jqMpwjbrLmTwRCplf+QWfIN6CIdmnyc&#10;TBZdIhwul2eL89Xrc0o4xFari4sz7EIx8GS0DzG9F86QvKlogCYiKzt8jAlqQ+opJadHp1W9VVrj&#10;Iex373QgBwYN3+KXHw+QJ2na5mTrMmwI55siaxxU4S4dtch52n4REkxCSViFj2WGSYJRh9k6zRPU&#10;QkBOlMD/TOwIyWiBA/xM/ATC+s6mCW+UdQHdeKQub1O368ae7lx9HLoa/dvbBAah4znrFEKXYBzR&#10;1fHXyfP++IxePvzgm98AAAD//wMAUEsDBBQABgAIAAAAIQBNLe6H4QAAAAsBAAAPAAAAZHJzL2Rv&#10;d25yZXYueG1sTI9NT4NAEIbvJv6HzZh4a5ePUguyNH6kt8akrRdvC4xAZGcJuxT8944nvc1knrzz&#10;vPl+Mb244ug6SwrCdQACqbJ1R42C98thtQPhvKZa95ZQwTc62Be3N7nOajvTCa9n3wgOIZdpBa33&#10;Qyalq1o02q3tgMS3Tzsa7XkdG1mPeuZw08soCLbS6I74Q6sHfGmx+jpPRkFi346nTfk879LtJTmm&#10;h+njVaJS93fL0yMIj4v/g+FXn9WhYKfSTlQ70StYhVG6YVbBQxyBYCKKkxhEyUMYByCLXP7vUPwA&#10;AAD//wMAUEsBAi0AFAAGAAgAAAAhALaDOJL+AAAA4QEAABMAAAAAAAAAAAAAAAAAAAAAAFtDb250&#10;ZW50X1R5cGVzXS54bWxQSwECLQAUAAYACAAAACEAOP0h/9YAAACUAQAACwAAAAAAAAAAAAAAAAAv&#10;AQAAX3JlbHMvLnJlbHNQSwECLQAUAAYACAAAACEAIr3CLPYBAAAoBAAADgAAAAAAAAAAAAAAAAAu&#10;AgAAZHJzL2Uyb0RvYy54bWxQSwECLQAUAAYACAAAACEATS3uh+EAAAALAQAADwAAAAAAAAAAAAAA&#10;AABQBAAAZHJzL2Rvd25yZXYueG1sUEsFBgAAAAAEAAQA8wAAAF4FAAAAAA==&#10;" stroked="f">
                <v:textbox style="mso-fit-shape-to-text:t">
                  <w:txbxContent>
                    <w:p w:rsidR="004264E0" w:rsidRDefault="00A56531">
                      <w:pPr>
                        <w:pStyle w:val="FrameContents"/>
                        <w:spacing w:line="276" w:lineRule="auto"/>
                        <w:ind w:left="808" w:right="90"/>
                        <w:jc w:val="right"/>
                        <w:rPr>
                          <w:rFonts w:cs="David"/>
                          <w:sz w:val="28"/>
                          <w:szCs w:val="28"/>
                        </w:rPr>
                      </w:pPr>
                      <w:r>
                        <w:rPr>
                          <w:rFonts w:cs="David"/>
                          <w:sz w:val="28"/>
                          <w:szCs w:val="28"/>
                          <w:rtl/>
                          <w:lang w:bidi="he-IL"/>
                        </w:rPr>
                        <w:t>בברכה</w:t>
                      </w:r>
                      <w:r>
                        <w:rPr>
                          <w:rFonts w:cs="David"/>
                          <w:sz w:val="28"/>
                          <w:szCs w:val="28"/>
                        </w:rPr>
                        <w:t>,</w:t>
                      </w:r>
                    </w:p>
                    <w:p w:rsidR="004264E0" w:rsidRDefault="004264E0">
                      <w:pPr>
                        <w:pStyle w:val="FrameContents"/>
                        <w:spacing w:line="240" w:lineRule="exact"/>
                      </w:pPr>
                    </w:p>
                    <w:p w:rsidR="004264E0" w:rsidRDefault="00A56531">
                      <w:pPr>
                        <w:pStyle w:val="FrameContents"/>
                        <w:spacing w:line="276" w:lineRule="auto"/>
                        <w:ind w:left="90" w:right="75"/>
                        <w:jc w:val="right"/>
                        <w:rPr>
                          <w:rFonts w:cs="Guttman Yad-Light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="Guttman Yad-Light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>פרופ</w:t>
                      </w:r>
                      <w:proofErr w:type="spellEnd"/>
                      <w:r>
                        <w:rPr>
                          <w:rFonts w:cs="Guttman Yad-Light"/>
                          <w:b/>
                          <w:bCs/>
                          <w:sz w:val="22"/>
                          <w:szCs w:val="22"/>
                          <w:rtl/>
                        </w:rPr>
                        <w:t>"</w:t>
                      </w:r>
                      <w:r>
                        <w:rPr>
                          <w:rFonts w:cs="Guttman Yad-Light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 xml:space="preserve">מ מתי </w:t>
                      </w:r>
                      <w:proofErr w:type="spellStart"/>
                      <w:r>
                        <w:rPr>
                          <w:rFonts w:cs="Guttman Yad-Light"/>
                          <w:b/>
                          <w:bCs/>
                          <w:sz w:val="22"/>
                          <w:szCs w:val="22"/>
                          <w:rtl/>
                          <w:lang w:bidi="he-IL"/>
                        </w:rPr>
                        <w:t>סאס</w:t>
                      </w:r>
                      <w:proofErr w:type="spellEnd"/>
                    </w:p>
                    <w:p w:rsidR="004264E0" w:rsidRDefault="00A56531">
                      <w:pPr>
                        <w:pStyle w:val="FrameContents"/>
                        <w:spacing w:line="276" w:lineRule="auto"/>
                        <w:ind w:left="808" w:right="90"/>
                        <w:jc w:val="right"/>
                      </w:pPr>
                      <w:r>
                        <w:rPr>
                          <w:rFonts w:cs="David"/>
                          <w:sz w:val="28"/>
                          <w:szCs w:val="28"/>
                          <w:rtl/>
                          <w:lang w:bidi="he-IL"/>
                        </w:rPr>
                        <w:t>מרכז הסמינרים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6531">
        <w:rPr>
          <w:rFonts w:ascii="CMR10" w:hAnsi="CMR10" w:cs="CMR10"/>
          <w:lang w:bidi="he-IL"/>
        </w:rPr>
        <w:t xml:space="preserve">Since the software is relatively new, novel features associated with adaptive mesh </w:t>
      </w:r>
      <w:proofErr w:type="gramStart"/>
      <w:r w:rsidR="00A56531">
        <w:rPr>
          <w:rFonts w:ascii="CMR10" w:hAnsi="CMR10" w:cs="CMR10"/>
          <w:lang w:bidi="he-IL"/>
        </w:rPr>
        <w:t>refinement</w:t>
      </w:r>
      <w:proofErr w:type="gramEnd"/>
      <w:r w:rsidR="00A56531">
        <w:rPr>
          <w:rFonts w:ascii="CMR10" w:hAnsi="CMR10" w:cs="CMR10"/>
          <w:lang w:bidi="he-IL"/>
        </w:rPr>
        <w:t xml:space="preserve"> (AMR) and the SAGE detailed chemistry solver are also</w:t>
      </w:r>
      <w:r w:rsidRPr="00011EF2">
        <w:rPr>
          <w:rFonts w:ascii="CMR10" w:hAnsi="CMR10" w:cs="CMR10"/>
          <w:lang w:bidi="he-IL"/>
        </w:rPr>
        <w:t xml:space="preserve"> </w:t>
      </w:r>
      <w:r w:rsidR="00A56531" w:rsidRPr="00011EF2">
        <w:rPr>
          <w:rFonts w:ascii="CMR10" w:hAnsi="CMR10" w:cs="CMR10"/>
          <w:lang w:bidi="he-IL"/>
        </w:rPr>
        <w:t>reviewed.</w:t>
      </w:r>
      <w:bookmarkStart w:id="0" w:name="_GoBack"/>
      <w:bookmarkEnd w:id="0"/>
    </w:p>
    <w:sectPr w:rsidR="004264E0" w:rsidRPr="00011EF2">
      <w:headerReference w:type="default" r:id="rId6"/>
      <w:pgSz w:w="11906" w:h="16838"/>
      <w:pgMar w:top="1440" w:right="1440" w:bottom="1440" w:left="144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31" w:rsidRDefault="00A56531">
      <w:r>
        <w:separator/>
      </w:r>
    </w:p>
  </w:endnote>
  <w:endnote w:type="continuationSeparator" w:id="0">
    <w:p w:rsidR="00A56531" w:rsidRDefault="00A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MR10">
    <w:altName w:val="Times New Roman"/>
    <w:charset w:val="01"/>
    <w:family w:val="roman"/>
    <w:pitch w:val="variable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31" w:rsidRDefault="00A56531">
      <w:r>
        <w:separator/>
      </w:r>
    </w:p>
  </w:footnote>
  <w:footnote w:type="continuationSeparator" w:id="0">
    <w:p w:rsidR="00A56531" w:rsidRDefault="00A5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E0" w:rsidRDefault="00A56531">
    <w:pPr>
      <w:pStyle w:val="ab"/>
      <w:rPr>
        <w:lang w:bidi="he-IL"/>
      </w:rPr>
    </w:pPr>
    <w:r>
      <w:rPr>
        <w:noProof/>
        <w:lang w:bidi="he-IL"/>
      </w:rPr>
      <w:drawing>
        <wp:anchor distT="0" distB="9525" distL="114300" distR="114300" simplePos="0" relativeHeight="4" behindDoc="1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-809625</wp:posOffset>
          </wp:positionV>
          <wp:extent cx="6553200" cy="12287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0"/>
    <w:rsid w:val="00011EF2"/>
    <w:rsid w:val="004264E0"/>
    <w:rsid w:val="004E7D27"/>
    <w:rsid w:val="00912186"/>
    <w:rsid w:val="00A56531"/>
    <w:rsid w:val="00D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844D"/>
  <w15:docId w15:val="{F992D6AA-C70D-4595-A321-1B6AFE3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uiPriority w:val="9"/>
    <w:qFormat/>
    <w:rsid w:val="003C312B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כותרת עליונה תו"/>
    <w:basedOn w:val="a0"/>
    <w:uiPriority w:val="99"/>
    <w:qFormat/>
    <w:rsid w:val="00372943"/>
  </w:style>
  <w:style w:type="character" w:customStyle="1" w:styleId="a4">
    <w:name w:val="כותרת תחתונה תו"/>
    <w:basedOn w:val="a0"/>
    <w:uiPriority w:val="99"/>
    <w:qFormat/>
    <w:rsid w:val="00372943"/>
  </w:style>
  <w:style w:type="character" w:customStyle="1" w:styleId="a5">
    <w:name w:val="טקסט בלונים תו"/>
    <w:basedOn w:val="a0"/>
    <w:uiPriority w:val="99"/>
    <w:semiHidden/>
    <w:qFormat/>
    <w:rsid w:val="0010525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0"/>
    <w:uiPriority w:val="9"/>
    <w:qFormat/>
    <w:rsid w:val="003C312B"/>
    <w:rPr>
      <w:rFonts w:ascii="Times New Roman" w:eastAsia="Times New Roman" w:hAnsi="Times New Roman" w:cs="Times New Roman"/>
      <w:b/>
      <w:bCs/>
      <w:sz w:val="48"/>
      <w:szCs w:val="48"/>
      <w:lang w:bidi="he-IL"/>
    </w:rPr>
  </w:style>
  <w:style w:type="character" w:styleId="a6">
    <w:name w:val="Strong"/>
    <w:basedOn w:val="a0"/>
    <w:uiPriority w:val="22"/>
    <w:qFormat/>
    <w:rsid w:val="00A54D5D"/>
    <w:rPr>
      <w:b/>
      <w:bCs/>
    </w:rPr>
  </w:style>
  <w:style w:type="character" w:customStyle="1" w:styleId="NormalWeb">
    <w:name w:val="Normal (Web) תו"/>
    <w:link w:val="NormalWeb"/>
    <w:qFormat/>
    <w:rsid w:val="006B668D"/>
    <w:rPr>
      <w:rFonts w:ascii="Times New Roman" w:eastAsia="Times New Roman" w:hAnsi="Times New Roman" w:cs="Times New Roman"/>
      <w:lang w:bidi="he-IL"/>
    </w:rPr>
  </w:style>
  <w:style w:type="character" w:customStyle="1" w:styleId="a7">
    <w:name w:val="כותרת טקסט תו"/>
    <w:basedOn w:val="a0"/>
    <w:uiPriority w:val="10"/>
    <w:qFormat/>
    <w:rsid w:val="006A5965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b">
    <w:name w:val="header"/>
    <w:basedOn w:val="a"/>
    <w:uiPriority w:val="99"/>
    <w:unhideWhenUsed/>
    <w:rsid w:val="00372943"/>
    <w:pPr>
      <w:tabs>
        <w:tab w:val="center" w:pos="4680"/>
        <w:tab w:val="right" w:pos="9360"/>
      </w:tabs>
    </w:pPr>
  </w:style>
  <w:style w:type="paragraph" w:styleId="ac">
    <w:name w:val="footer"/>
    <w:basedOn w:val="a"/>
    <w:uiPriority w:val="99"/>
    <w:unhideWhenUsed/>
    <w:rsid w:val="00372943"/>
    <w:pPr>
      <w:tabs>
        <w:tab w:val="center" w:pos="4680"/>
        <w:tab w:val="right" w:pos="9360"/>
      </w:tabs>
    </w:pPr>
  </w:style>
  <w:style w:type="paragraph" w:styleId="ad">
    <w:name w:val="Balloon Text"/>
    <w:basedOn w:val="a"/>
    <w:uiPriority w:val="99"/>
    <w:semiHidden/>
    <w:unhideWhenUsed/>
    <w:qFormat/>
    <w:rsid w:val="00105253"/>
    <w:rPr>
      <w:rFonts w:ascii="Tahoma" w:hAnsi="Tahoma" w:cs="Tahoma"/>
      <w:sz w:val="18"/>
      <w:szCs w:val="18"/>
    </w:rPr>
  </w:style>
  <w:style w:type="paragraph" w:styleId="ae">
    <w:name w:val="List Paragraph"/>
    <w:basedOn w:val="a"/>
    <w:uiPriority w:val="34"/>
    <w:qFormat/>
    <w:rsid w:val="00CE0B9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1">
    <w:name w:val="רגיל1"/>
    <w:uiPriority w:val="99"/>
    <w:qFormat/>
    <w:rsid w:val="00D020D1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bidi="he-IL"/>
    </w:rPr>
  </w:style>
  <w:style w:type="paragraph" w:styleId="NormalWeb0">
    <w:name w:val="Normal (Web)"/>
    <w:basedOn w:val="a"/>
    <w:qFormat/>
    <w:rsid w:val="006B668D"/>
    <w:pPr>
      <w:bidi/>
    </w:pPr>
    <w:rPr>
      <w:rFonts w:ascii="Times New Roman" w:eastAsia="Times New Roman" w:hAnsi="Times New Roman" w:cs="Times New Roman"/>
      <w:lang w:bidi="he-IL"/>
    </w:rPr>
  </w:style>
  <w:style w:type="paragraph" w:customStyle="1" w:styleId="Standard">
    <w:name w:val="Standard"/>
    <w:qFormat/>
    <w:rsid w:val="00156B16"/>
    <w:pPr>
      <w:suppressAutoHyphens/>
      <w:textAlignment w:val="baseline"/>
    </w:pPr>
    <w:rPr>
      <w:rFonts w:ascii="Liberation Serif" w:eastAsia="Noto Sans CJK SC Regular" w:hAnsi="Liberation Serif" w:cs="FreeSans"/>
      <w:color w:val="00000A"/>
      <w:sz w:val="24"/>
      <w:lang w:eastAsia="zh-CN" w:bidi="hi-IN"/>
    </w:rPr>
  </w:style>
  <w:style w:type="paragraph" w:styleId="af">
    <w:name w:val="Title"/>
    <w:basedOn w:val="a"/>
    <w:uiPriority w:val="10"/>
    <w:qFormat/>
    <w:rsid w:val="006A596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pnina</dc:creator>
  <dc:description/>
  <cp:lastModifiedBy>pnina@me.technion.ac.il</cp:lastModifiedBy>
  <cp:revision>2</cp:revision>
  <cp:lastPrinted>2018-03-25T07:02:00Z</cp:lastPrinted>
  <dcterms:created xsi:type="dcterms:W3CDTF">2018-03-25T07:03:00Z</dcterms:created>
  <dcterms:modified xsi:type="dcterms:W3CDTF">2018-03-25T07:03:00Z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